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Programme op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é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rationnel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« 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FSE Wallonie-Bruxelles 2020.eu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»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Projet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«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Inclusion des enfants en situation de handicap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–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petite enfance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–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Promemploi, province de Luxembourg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 »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Proc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è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s-verbal de la r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é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union du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1F497D"/>
          <w:sz w:val="28"/>
          <w:szCs w:val="28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Comit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é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d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’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Accompagnement (CA) du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 xml:space="preserve">03 mars 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202</w:t>
      </w:r>
      <w:r w:rsidRPr="000C6E31">
        <w:rPr>
          <w:rFonts w:ascii="Arial" w:eastAsia="Calibri" w:hAnsi="Arial" w:cs="Calibri"/>
          <w:b/>
          <w:bCs/>
          <w:color w:val="1F497D"/>
          <w:sz w:val="28"/>
          <w:szCs w:val="28"/>
          <w:u w:color="1F497D"/>
          <w:lang w:val="fr-BE"/>
        </w:rPr>
        <w:t>1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  <w:r w:rsidRPr="000C6E31">
        <w:rPr>
          <w:rFonts w:ascii="Arial" w:eastAsia="Arial" w:hAnsi="Arial" w:cs="Arial"/>
          <w:b/>
          <w:bCs/>
          <w:noProof/>
          <w:color w:val="000000"/>
          <w:u w:color="000000"/>
          <w:lang w:val="fr-BE" w:eastAsia="fr-FR"/>
        </w:rPr>
        <w:drawing>
          <wp:inline distT="0" distB="0" distL="0" distR="0" wp14:anchorId="4F72A0C7" wp14:editId="7B8ED558">
            <wp:extent cx="3943556" cy="1753126"/>
            <wp:effectExtent l="0" t="0" r="0" b="0"/>
            <wp:docPr id="1073741825" name="officeArt object" descr="Promemploi_Accueil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omemploi_Accueil_logo_rvb.jpg" descr="Promemploi_Accueil_logo_rvb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556" cy="1753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fr-BE"/>
        </w:rPr>
      </w:pPr>
      <w:r w:rsidRPr="000C6E31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lang w:val="fr-BE"/>
        </w:rPr>
        <w:t>Ordre du j</w:t>
      </w:r>
      <w:r w:rsidRPr="000C6E31">
        <w:rPr>
          <w:noProof/>
          <w:lang w:val="fr-BE"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9B961E" wp14:editId="38DACE32">
                <wp:simplePos x="0" y="0"/>
                <wp:positionH relativeFrom="page">
                  <wp:posOffset>721587</wp:posOffset>
                </wp:positionH>
                <wp:positionV relativeFrom="page">
                  <wp:posOffset>4404587</wp:posOffset>
                </wp:positionV>
                <wp:extent cx="133350" cy="282195"/>
                <wp:effectExtent l="0" t="0" r="0" b="0"/>
                <wp:wrapThrough wrapText="bothSides" distL="0" distR="0">
                  <wp:wrapPolygon edited="1">
                    <wp:start x="-2057" y="-972"/>
                    <wp:lineTo x="24686" y="-972"/>
                    <wp:lineTo x="24686" y="22358"/>
                    <wp:lineTo x="-2057" y="22358"/>
                    <wp:lineTo x="-2057" y="-972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2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0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"/>
                            </w:tblGrid>
                            <w:tr w:rsidR="006A29D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A29D6" w:rsidRDefault="006A29D6"/>
                              </w:tc>
                            </w:tr>
                          </w:tbl>
                          <w:p w:rsidR="00000000" w:rsidRDefault="0080354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8pt;margin-top:346.8pt;width:10.5pt;height:22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2057 -1565 24686 -1565 24686 36004 -2057 36004 -2057 -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20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"/>
                      </w:tblGrid>
                      <w:tr w:rsidR="006A29D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9"/>
                        </w:trPr>
                        <w:tc>
                          <w:tcPr>
                            <w:tcW w:w="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A29D6" w:rsidRDefault="006A29D6"/>
                        </w:tc>
                      </w:tr>
                    </w:tbl>
                    <w:p w:rsidR="00000000" w:rsidRDefault="00803546"/>
                  </w:txbxContent>
                </v:textbox>
                <w10:wrap type="through" anchorx="page" anchory="page"/>
              </v:rect>
            </w:pict>
          </mc:Fallback>
        </mc:AlternateContent>
      </w:r>
      <w:r w:rsidRPr="000C6E31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lang w:val="fr-BE"/>
        </w:rPr>
        <w:t>our</w:t>
      </w:r>
      <w:r w:rsidRPr="000C6E31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lang w:val="fr-BE"/>
        </w:rPr>
        <w:t> </w:t>
      </w:r>
      <w:r w:rsidRPr="000C6E31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lang w:val="fr-BE"/>
        </w:rPr>
        <w:t>: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fr-BE"/>
        </w:rPr>
      </w:pPr>
    </w:p>
    <w:p w:rsidR="006A29D6" w:rsidRPr="000C6E31" w:rsidRDefault="006A29D6">
      <w:pPr>
        <w:pStyle w:val="Corps"/>
        <w:rPr>
          <w:rFonts w:ascii="Arial" w:eastAsia="Arial" w:hAnsi="Arial" w:cs="Arial"/>
          <w:sz w:val="20"/>
          <w:szCs w:val="20"/>
          <w:lang w:val="fr-BE"/>
        </w:rPr>
      </w:pP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Approbation du PV du Comit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Accompagnement du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07 septembre 2020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Tour de table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sentation du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projet de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rapport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activit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20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20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Avenant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convention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Voyage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tude 2021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Ev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de cl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ture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Pause Grenadine -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sentation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Nouvelle programmation</w:t>
      </w:r>
    </w:p>
    <w:p w:rsidR="006A29D6" w:rsidRPr="000C6E31" w:rsidRDefault="00803546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Divers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/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"/>
        <w:jc w:val="center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  <w:r w:rsidRPr="000C6E31">
        <w:rPr>
          <w:rFonts w:ascii="Arial" w:eastAsia="Arial" w:hAnsi="Arial" w:cs="Arial"/>
          <w:b/>
          <w:bCs/>
          <w:noProof/>
          <w:color w:val="000000"/>
          <w:u w:color="000000"/>
          <w:lang w:val="fr-BE" w:eastAsia="fr-FR"/>
        </w:rPr>
        <w:drawing>
          <wp:inline distT="0" distB="0" distL="0" distR="0" wp14:anchorId="3D253113" wp14:editId="56D888BB">
            <wp:extent cx="2717076" cy="1920102"/>
            <wp:effectExtent l="0" t="0" r="0" b="0"/>
            <wp:docPr id="1073741826" name="officeArt object" descr="logo_mentions_-_coule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mentions_-_couleur.jpg" descr="logo_mentions_-_couleur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076" cy="19201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"/>
        <w:jc w:val="center"/>
        <w:rPr>
          <w:lang w:val="fr-BE"/>
        </w:rPr>
      </w:pPr>
      <w:r w:rsidRPr="000C6E31">
        <w:rPr>
          <w:rFonts w:ascii="Arial" w:eastAsia="Arial" w:hAnsi="Arial" w:cs="Arial"/>
          <w:b/>
          <w:bCs/>
          <w:noProof/>
          <w:color w:val="000000"/>
          <w:u w:color="000000"/>
          <w:lang w:val="fr-BE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025E2D" wp14:editId="11E3C1F0">
                <wp:simplePos x="0" y="0"/>
                <wp:positionH relativeFrom="margin">
                  <wp:posOffset>5991151</wp:posOffset>
                </wp:positionH>
                <wp:positionV relativeFrom="line">
                  <wp:posOffset>297212</wp:posOffset>
                </wp:positionV>
                <wp:extent cx="257809" cy="225425"/>
                <wp:effectExtent l="0" t="0" r="0" b="0"/>
                <wp:wrapNone/>
                <wp:docPr id="107374182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09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71.7pt;margin-top:23.4pt;width:20.3pt;height:17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 w:rsidRPr="000C6E31">
        <w:rPr>
          <w:rFonts w:ascii="Arial Unicode MS" w:hAnsi="Arial Unicode MS" w:cs="Arial Unicode MS"/>
          <w:color w:val="000000"/>
          <w:u w:color="000000"/>
          <w:lang w:val="fr-BE"/>
        </w:rPr>
        <w:br w:type="page"/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"/>
        <w:jc w:val="center"/>
        <w:rPr>
          <w:rFonts w:ascii="Arial" w:eastAsia="Arial" w:hAnsi="Arial" w:cs="Arial"/>
          <w:b/>
          <w:bCs/>
          <w:color w:val="1F497D"/>
          <w:kern w:val="32"/>
          <w:sz w:val="32"/>
          <w:szCs w:val="32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lastRenderedPageBreak/>
        <w:t xml:space="preserve">Le PV du CA du 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 xml:space="preserve">03 mars 2021 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en un coup d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’œ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il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 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!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7940"/>
      </w:tblGrid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</w:trPr>
        <w:tc>
          <w:tcPr>
            <w:tcW w:w="1698" w:type="dxa"/>
            <w:tcBorders>
              <w:top w:val="single" w:sz="8" w:space="0" w:color="4BACC6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Approbation du PV du Comit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d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 xml:space="preserve">Accompagnement du 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07 septembre 2020</w:t>
            </w:r>
          </w:p>
        </w:tc>
        <w:tc>
          <w:tcPr>
            <w:tcW w:w="7939" w:type="dxa"/>
            <w:tcBorders>
              <w:top w:val="single" w:sz="8" w:space="0" w:color="4BACC6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shd w:val="clear" w:color="auto" w:fill="FEFFFF"/>
                <w:lang w:val="fr-BE"/>
              </w:rPr>
              <w:t>PV Approuv</w:t>
            </w:r>
            <w:r w:rsidRPr="000C6E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shd w:val="clear" w:color="auto" w:fill="FEFFFF"/>
                <w:lang w:val="fr-BE"/>
              </w:rPr>
              <w:t>é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Tour de table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Chaque partenaire s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est 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sent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et a dit quelques mots sur sa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en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regard du contexte actuel.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br/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Plusieurs structures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accueil sont devenues des cr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è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ches dans le cadre de la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forme.</w:t>
            </w: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Globalement, le travail continue malgr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les difficult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 rencontr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es. Il y a encore beaucoup de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unions et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v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nements en distanciel.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Pr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sentation du projet de rapport d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activit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/>
              </w:rPr>
              <w:t>2020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Arial" w:eastAsia="Arial" w:hAnsi="Arial" w:cs="Arial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Les partenaires ont apport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quelques remarques/pr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cisions : </w:t>
            </w:r>
          </w:p>
          <w:p w:rsidR="006A29D6" w:rsidRPr="000C6E31" w:rsidRDefault="00803546">
            <w:pPr>
              <w:numPr>
                <w:ilvl w:val="0"/>
                <w:numId w:val="3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Farandole a particip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JIMA</w:t>
            </w:r>
          </w:p>
          <w:p w:rsidR="006A29D6" w:rsidRPr="000C6E31" w:rsidRDefault="00803546">
            <w:pPr>
              <w:numPr>
                <w:ilvl w:val="0"/>
                <w:numId w:val="3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Pause Grenadine b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ficie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une subvention pour une professionnel-le-s qui est reconnu comme en situation de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handicap =&gt; travail adapt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</w:p>
          <w:p w:rsidR="006A29D6" w:rsidRPr="000C6E31" w:rsidRDefault="00803546">
            <w:pPr>
              <w:numPr>
                <w:ilvl w:val="0"/>
                <w:numId w:val="3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Les Petits Nicolas souhaitaient faire une formation Snoezelen en 2020 =&gt; report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 en 2021</w:t>
            </w:r>
          </w:p>
          <w:p w:rsidR="006A29D6" w:rsidRPr="000C6E31" w:rsidRDefault="00803546">
            <w:pPr>
              <w:numPr>
                <w:ilvl w:val="0"/>
                <w:numId w:val="3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Nouvelle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marche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chie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interne de Promemploi concernant la th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matique de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galit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des chances hommes/femmes et la diversit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: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plus participative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pStyle w:val="Pardfaut"/>
              <w:tabs>
                <w:tab w:val="left" w:pos="708"/>
                <w:tab w:val="left" w:pos="1416"/>
              </w:tabs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t>Avenant à la convention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Suite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prolongation du projet jusqu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en 2021, une nouvelle convention a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dig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e.</w:t>
            </w: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Celle-ci doit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ê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tre sign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 par les partenaires =&gt; Val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rie les contactera pour convenir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un rendez-vous.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pStyle w:val="Pardfaut"/>
              <w:tabs>
                <w:tab w:val="left" w:pos="708"/>
                <w:tab w:val="left" w:pos="1416"/>
              </w:tabs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t>Voyage d’étude 2021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Actuellement aucune certitude quant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possibilit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ou non de faire un voyage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tude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Gand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fin de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ann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e. 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anmoins, souhait de la part des partenaires de poursuivre la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flexion entam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 en 2021 concernant la th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matique de la transition et ce, m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ê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me si le voyage en 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sentiel 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est pas possible.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pStyle w:val="Pardfaut"/>
              <w:tabs>
                <w:tab w:val="left" w:pos="708"/>
                <w:tab w:val="left" w:pos="1416"/>
              </w:tabs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t>Evénement de clôture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Arial" w:eastAsia="Arial" w:hAnsi="Arial" w:cs="Arial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Les partenaires souhaitent que cette semaine ait lieu en 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sentiel et </w:t>
            </w:r>
            <w:r w:rsid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se questionnent quant au nombre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inscriptions en cas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v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nements en ligne.</w:t>
            </w:r>
            <w:r w:rsidRPr="000C6E31">
              <w:rPr>
                <w:rFonts w:ascii="Arial Unicode MS" w:hAnsi="Arial Unicode MS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br/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Pistes abord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es : </w:t>
            </w:r>
          </w:p>
          <w:p w:rsidR="006A29D6" w:rsidRPr="000C6E31" w:rsidRDefault="00803546">
            <w:pPr>
              <w:numPr>
                <w:ilvl w:val="0"/>
                <w:numId w:val="4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voir une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possibilit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de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« </w:t>
            </w:r>
            <w:proofErr w:type="spellStart"/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replay</w:t>
            </w:r>
            <w:proofErr w:type="spellEnd"/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 »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: visionnage au moment le plus appropri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pour chacun-e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.</w:t>
            </w:r>
          </w:p>
          <w:p w:rsidR="006A29D6" w:rsidRPr="000C6E31" w:rsidRDefault="00803546">
            <w:pPr>
              <w:numPr>
                <w:ilvl w:val="0"/>
                <w:numId w:val="4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Filmer les intervenant-e-s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unis en 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sentiel, avec plusieurs cam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ras comme sur un plateau TV : donnerait une impression aux professionnel-le-s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y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ê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tre =&gt; plus attractif.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pStyle w:val="Pardfaut"/>
              <w:tabs>
                <w:tab w:val="left" w:pos="708"/>
                <w:tab w:val="left" w:pos="1416"/>
              </w:tabs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t>Pause Grenadine - présentation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Pause Grenadine va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aliser un travail sur la th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matique de la transition, accompagn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par une </w:t>
            </w:r>
            <w:proofErr w:type="spellStart"/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morante</w:t>
            </w:r>
            <w:proofErr w:type="spellEnd"/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 de </w:t>
            </w:r>
            <w:proofErr w:type="spellStart"/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Ulg</w:t>
            </w:r>
            <w:proofErr w:type="spellEnd"/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.</w:t>
            </w: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premi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è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re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tape va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ê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tre un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tat des lieux quant aux actions men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es aupr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è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enfants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besoins sp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cifiques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 et n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cessitant un accompagnement dans la transition cr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è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che/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cole.</w:t>
            </w: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Val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rie propose de coupler/d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inclure cette dynamique dans le dispositif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flexif en lien avec le voyage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tude.</w:t>
            </w:r>
          </w:p>
          <w:p w:rsidR="006A29D6" w:rsidRPr="000C6E31" w:rsidRDefault="006A29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Sylvie invite les structures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accueil rencontrant des difficult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s en lien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avec la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forme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en 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moigner. Il y a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des enjeux notamment en termes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accessibilit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et de diversit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.</w:t>
            </w:r>
          </w:p>
          <w:p w:rsidR="006A29D6" w:rsidRPr="000C6E31" w:rsidRDefault="006A29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phan rappel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aspect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volutif de la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forme et le souhait de la part de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ONE de ne pas freiner les initiatives porteuses de sens.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pStyle w:val="Pardfaut"/>
              <w:tabs>
                <w:tab w:val="left" w:pos="708"/>
                <w:tab w:val="left" w:pos="1416"/>
              </w:tabs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lastRenderedPageBreak/>
              <w:t xml:space="preserve">Nouvelle </w:t>
            </w: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t>programmation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ASBL Promemploi commence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fl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chir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un projet pour la nouvelle programmation gr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â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ce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marche de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arbre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probl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è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me/arbre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objectif. Elle souhaite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aliser cette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flexion avec des professionnel-le-s de terrain. Un courrier arrivera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donc prochainement.</w:t>
            </w: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La question de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part serait la suivante : comment promouvoir et soutenir la diversit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et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accessibilit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é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de tous les enfants et leurs parents dans les milieux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accueil en province de Luxembourg?</w:t>
            </w:r>
          </w:p>
        </w:tc>
      </w:tr>
      <w:tr w:rsidR="006A29D6" w:rsidRPr="000C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/>
        </w:trPr>
        <w:tc>
          <w:tcPr>
            <w:tcW w:w="1698" w:type="dxa"/>
            <w:tcBorders>
              <w:top w:val="single" w:sz="8" w:space="0" w:color="1F497D"/>
              <w:left w:val="nil"/>
              <w:bottom w:val="single" w:sz="8" w:space="0" w:color="1F497D"/>
              <w:right w:val="dash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pStyle w:val="Pardfaut"/>
              <w:tabs>
                <w:tab w:val="left" w:pos="708"/>
                <w:tab w:val="left" w:pos="1416"/>
              </w:tabs>
              <w:rPr>
                <w:lang w:val="fr-BE"/>
              </w:rPr>
            </w:pPr>
            <w:r w:rsidRPr="000C6E3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fr-BE"/>
              </w:rPr>
              <w:t>Divers</w:t>
            </w:r>
          </w:p>
        </w:tc>
        <w:tc>
          <w:tcPr>
            <w:tcW w:w="7939" w:type="dxa"/>
            <w:tcBorders>
              <w:top w:val="single" w:sz="8" w:space="0" w:color="1F497D"/>
              <w:left w:val="dashed" w:sz="4" w:space="0" w:color="000000"/>
              <w:bottom w:val="single" w:sz="8" w:space="0" w:color="1F497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Arial" w:eastAsia="Arial" w:hAnsi="Arial" w:cs="Arial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Un courrier Erasmus+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« 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Triangle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 »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arrivera prochainement, Val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rie invite les partenaires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en prendre connaissance.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 3 mobilit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 pr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vues dans les mois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venir : </w:t>
            </w:r>
          </w:p>
          <w:p w:rsidR="006A29D6" w:rsidRPr="000C6E31" w:rsidRDefault="00803546">
            <w:pPr>
              <w:numPr>
                <w:ilvl w:val="0"/>
                <w:numId w:val="5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Octobre 2021 : Italie</w:t>
            </w:r>
          </w:p>
          <w:p w:rsidR="006A29D6" w:rsidRPr="000C6E31" w:rsidRDefault="00803546">
            <w:pPr>
              <w:numPr>
                <w:ilvl w:val="0"/>
                <w:numId w:val="5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cembre 2021 : Belgique</w:t>
            </w:r>
          </w:p>
          <w:p w:rsidR="006A29D6" w:rsidRPr="000C6E31" w:rsidRDefault="00803546">
            <w:pPr>
              <w:numPr>
                <w:ilvl w:val="0"/>
                <w:numId w:val="5"/>
              </w:numPr>
              <w:jc w:val="both"/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Mai 2022 : Suisse</w:t>
            </w: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Arial" w:eastAsia="Arial" w:hAnsi="Arial" w:cs="Arial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Promemploi recherche des professionnel-le-s pour constituer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ses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gations.</w:t>
            </w:r>
          </w:p>
          <w:p w:rsidR="006A29D6" w:rsidRPr="000C6E31" w:rsidRDefault="006A29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Arial" w:eastAsia="Arial" w:hAnsi="Arial" w:cs="Arial"/>
                <w:color w:val="000000"/>
                <w:kern w:val="24"/>
                <w:sz w:val="20"/>
                <w:szCs w:val="20"/>
                <w:u w:color="000000"/>
                <w:lang w:val="fr-BE"/>
              </w:rPr>
            </w:pPr>
          </w:p>
          <w:p w:rsidR="006A29D6" w:rsidRPr="000C6E31" w:rsidRDefault="008035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fr-BE"/>
              </w:rPr>
            </w:pP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Mathilde transmets la demande de contacts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une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tudiante r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alisant un m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moire sur l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accueil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enfants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 xml:space="preserve">à 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besoins sp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é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cifiques. Les milieux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accueil sont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accords d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’ê</w:t>
            </w:r>
            <w:r w:rsidRPr="000C6E31">
              <w:rPr>
                <w:rFonts w:ascii="Arial" w:hAnsi="Arial" w:cs="Arial Unicode MS"/>
                <w:color w:val="000000"/>
                <w:kern w:val="24"/>
                <w:sz w:val="20"/>
                <w:szCs w:val="20"/>
                <w:u w:color="000000"/>
                <w:lang w:val="fr-BE"/>
              </w:rPr>
              <w:t>tre mis en contact avec elle.</w:t>
            </w:r>
          </w:p>
        </w:tc>
      </w:tr>
    </w:tbl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b/>
          <w:bCs/>
          <w:color w:val="000000"/>
          <w:u w:color="000000"/>
          <w:lang w:val="fr-BE"/>
        </w:rPr>
        <w:t>Membres pr</w:t>
      </w:r>
      <w:r w:rsidRPr="000C6E31">
        <w:rPr>
          <w:rFonts w:ascii="Arial" w:eastAsia="Calibri" w:hAnsi="Arial" w:cs="Calibri"/>
          <w:b/>
          <w:bCs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b/>
          <w:bCs/>
          <w:color w:val="000000"/>
          <w:u w:color="000000"/>
          <w:lang w:val="fr-BE"/>
        </w:rPr>
        <w:t>sents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Mathilde CASEL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 xml:space="preserve">Le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Tisserand - ASBL Promemploi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Jocelyne COUSET</w:t>
      </w:r>
      <w:r w:rsidRPr="000C6E31">
        <w:rPr>
          <w:rFonts w:ascii="Arial" w:eastAsia="Arial" w:hAnsi="Arial" w:cs="Arial"/>
          <w:color w:val="000000"/>
          <w:sz w:val="22"/>
          <w:szCs w:val="22"/>
          <w:u w:color="000000"/>
          <w:lang w:val="fr-BE"/>
        </w:rPr>
        <w:tab/>
      </w:r>
      <w:r w:rsidRPr="000C6E31">
        <w:rPr>
          <w:rFonts w:ascii="Arial" w:eastAsia="Arial" w:hAnsi="Arial" w:cs="Arial"/>
          <w:color w:val="000000"/>
          <w:sz w:val="22"/>
          <w:szCs w:val="22"/>
          <w:u w:color="000000"/>
          <w:lang w:val="fr-BE"/>
        </w:rPr>
        <w:tab/>
      </w:r>
      <w:r w:rsidRPr="000C6E31">
        <w:rPr>
          <w:rFonts w:ascii="Arial" w:eastAsia="Arial" w:hAnsi="Arial" w:cs="Arial"/>
          <w:color w:val="000000"/>
          <w:sz w:val="22"/>
          <w:szCs w:val="22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ASBL Promemploi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Monique DENIS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SAP Premiers Pas (B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eauplateau, Sainte-Ode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Bernadette DISEUR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La Farandole (Virton)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 xml:space="preserve">Laurence GOFFINET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AViQ Libramont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Catherine JACQUEMIN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SAP Alter &amp; GO (Forri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è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res)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 xml:space="preserve">Nathalie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MOERIS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Administration communale (Paliseul)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Sylvie LEFEBVRE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ASBL Promemploi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Val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rie LEGROS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ASBL Promemploi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St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phan LEYDER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ONE Libramont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Fran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ç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oise LIGNIAN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La Pause Grenadine (Bastogne)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Marie LIGNIAN</w:t>
      </w:r>
      <w:r w:rsidRPr="000C6E31">
        <w:rPr>
          <w:rFonts w:ascii="Calibri" w:eastAsia="Calibri" w:hAnsi="Calibri" w:cs="Calibri"/>
          <w:color w:val="000000"/>
          <w:sz w:val="22"/>
          <w:szCs w:val="22"/>
          <w:u w:color="000000"/>
          <w:lang w:val="fr-BE"/>
        </w:rPr>
        <w:t xml:space="preserve"> </w:t>
      </w:r>
      <w:r w:rsidRPr="000C6E31">
        <w:rPr>
          <w:rFonts w:ascii="Calibri" w:eastAsia="Calibri" w:hAnsi="Calibri" w:cs="Calibri"/>
          <w:color w:val="000000"/>
          <w:sz w:val="22"/>
          <w:szCs w:val="22"/>
          <w:u w:color="000000"/>
          <w:lang w:val="fr-BE"/>
        </w:rPr>
        <w:t xml:space="preserve">                           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 xml:space="preserve">La Pause Grenadine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(Bastogne)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M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lanie PILOTTO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Les petits Nicolas (Lischert)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Justine PONCELET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ab/>
        <w:t>Les Lutins du Parc (Paliseul)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 xml:space="preserve">Karine WENER                           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Les petits Nicolas (Lischert)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fr-BE"/>
        </w:rPr>
      </w:pPr>
      <w:r w:rsidRPr="000C6E31">
        <w:rPr>
          <w:rFonts w:ascii="Arial Unicode MS" w:hAnsi="Arial Unicode MS" w:cs="Arial Unicode MS"/>
          <w:color w:val="000000"/>
          <w:u w:color="000000"/>
          <w:lang w:val="fr-BE"/>
        </w:rPr>
        <w:br w:type="page"/>
      </w:r>
    </w:p>
    <w:p w:rsidR="006A29D6" w:rsidRPr="000C6E31" w:rsidRDefault="008035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ascii="Arial" w:eastAsia="Arial" w:hAnsi="Arial" w:cs="Arial"/>
          <w:b/>
          <w:bCs/>
          <w:color w:val="1F497D"/>
          <w:kern w:val="32"/>
          <w:sz w:val="32"/>
          <w:szCs w:val="32"/>
          <w:u w:color="1F497D"/>
          <w:lang w:val="fr-BE"/>
        </w:rPr>
      </w:pP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lastRenderedPageBreak/>
        <w:t xml:space="preserve">Le PV du CA du 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03 mars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 xml:space="preserve"> 202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1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 xml:space="preserve"> in extenso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 </w:t>
      </w:r>
      <w:r w:rsidRPr="000C6E31">
        <w:rPr>
          <w:rFonts w:ascii="Arial" w:eastAsia="Calibri" w:hAnsi="Arial" w:cs="Calibri"/>
          <w:b/>
          <w:bCs/>
          <w:color w:val="1F497D"/>
          <w:kern w:val="32"/>
          <w:sz w:val="32"/>
          <w:szCs w:val="32"/>
          <w:u w:color="1F497D"/>
          <w:lang w:val="fr-BE"/>
        </w:rPr>
        <w:t>!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Tour de table</w:t>
      </w:r>
    </w:p>
    <w:p w:rsidR="006A29D6" w:rsidRPr="000C6E31" w:rsidRDefault="00803546" w:rsidP="000C6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Actualit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des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services pr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sents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la r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union : </w:t>
      </w:r>
      <w:r w:rsidRPr="000C6E31">
        <w:rPr>
          <w:rFonts w:ascii="Arial Unicode MS" w:hAnsi="Arial Unicode MS" w:cs="Arial Unicode MS"/>
          <w:color w:val="000000"/>
          <w:u w:color="000000"/>
          <w:lang w:val="fr-BE"/>
        </w:rPr>
        <w:br/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Pause Grenadine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reprise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="000C6E31">
        <w:rPr>
          <w:rFonts w:ascii="Arial" w:hAnsi="Arial" w:cs="Arial Unicode MS"/>
          <w:color w:val="000000"/>
          <w:u w:color="000000"/>
          <w:lang w:val="fr-BE"/>
        </w:rPr>
        <w:t>accueil des enfants, le service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fort impact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entre mars et ao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û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 car il y a eu des inscriptions en septembre. Cela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dur, les familiarisations ont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 « 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b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â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 »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avec les parents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 pouvant pas entrer dans le service. La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che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galement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ferm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="000C6E31">
        <w:rPr>
          <w:rFonts w:ascii="Arial" w:hAnsi="Arial" w:cs="Arial Unicode MS"/>
          <w:color w:val="000000"/>
          <w:u w:color="000000"/>
          <w:lang w:val="fr-BE"/>
        </w:rPr>
        <w:t>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un mois en raison de cas Covid mais tout commence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bien fonctionner depuis janvier 2021.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Avec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forme et le passage de la structure en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(avril 2020), il va y avoir un renforce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ment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quipe en personnel (6/10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 temps).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de laisser sa place de directrice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Pause Grenadine. Elle travaille jusque fin mars puis sera remplac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par une autre personne.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examen visant au recrutement 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j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eu lieu, la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cision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concernant la futur directrice/le futur directeur sera prise durant la semaine du 01 mars 2021. 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oise quant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elle va prendre un statut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pendante et continuera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travailler dans le secteur.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SAP Alter &amp; GO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il y a beaucoup plus de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travail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mais les visites en famille ont repris depuis un moment ainsi que les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unions en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sentiel.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SAP Premiers Pas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reprise des activit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aupr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des familles. Depuis le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but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les professionnelles du service font deux visites par jour. Cependant, les accompagnements dans les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coles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ont pas encore repris.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Les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unions se font principalement en visioconf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rence.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AViQ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AViQ est moins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sente dans le projet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but.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quipe 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sente une fois par an lors de ces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unions. 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Nathalie MOERIS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est la rempla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ante de Julie JONET pour le Plan de Coh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sion Social (PCS). Nathalie a quitt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 poste au sein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une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che, elle conna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î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 donc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expos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par les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partenaires.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Les Lutins du Parc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la structure est </w:t>
      </w:r>
      <w:proofErr w:type="gramStart"/>
      <w:r w:rsidRPr="000C6E31">
        <w:rPr>
          <w:rFonts w:ascii="Arial" w:hAnsi="Arial" w:cs="Arial Unicode MS"/>
          <w:color w:val="000000"/>
          <w:u w:color="000000"/>
          <w:lang w:val="fr-BE"/>
        </w:rPr>
        <w:t>pass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proofErr w:type="gram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sous le statut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depuis le mois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avril.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Il y a beaucoup de changement suite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ouverture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une nouvelle section. Il y a beaucoup de malades dans le personnel en ce moment.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La Farandole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la situation est compliqu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avec beaucoup de malades dans le personnel et donc de remplacements. 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pas simple de contacter les parents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que leur enfant a de la temp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rature. Bernadette constate que les relations avec eux ont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proofErr w:type="gramStart"/>
      <w:r w:rsidRPr="000C6E31">
        <w:rPr>
          <w:rFonts w:ascii="Arial" w:hAnsi="Arial" w:cs="Arial Unicode MS"/>
          <w:color w:val="000000"/>
          <w:u w:color="000000"/>
          <w:lang w:val="fr-BE"/>
        </w:rPr>
        <w:t>modifi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proofErr w:type="gram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avec le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contexte sanitaire actuel.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Les Petits Nicolas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la structure est </w:t>
      </w:r>
      <w:proofErr w:type="gramStart"/>
      <w:r w:rsidRPr="000C6E31">
        <w:rPr>
          <w:rFonts w:ascii="Arial" w:hAnsi="Arial" w:cs="Arial Unicode MS"/>
          <w:color w:val="000000"/>
          <w:u w:color="000000"/>
          <w:lang w:val="fr-BE"/>
        </w:rPr>
        <w:t>pass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proofErr w:type="gram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depuis le mois de septembre. Il faut un temps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adaptation pour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tre au clair avec les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rentes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marches administratives, etc. Concernant la crise sanitaire actuelle, la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est plut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pargn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en ce moment tant au niveau des professionnelles que des enfants.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12"/>
          <w:szCs w:val="12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ONE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au niveau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les activit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se poursuivent mais tout (ou la majorit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) se fait en distanciel/t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travail.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Approbation du PV du Comit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é 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d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’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Accompagnement du 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07 septembre 2020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Le PV est approuv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 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sans remarque par les membres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sents.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Pr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é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sentation du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 projet de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 rapport 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d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’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activit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é 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20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20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u w:color="000000"/>
          <w:lang w:val="fr-BE"/>
        </w:rPr>
      </w:pP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Concernant le Power Point pr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sent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en r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union, voir en pi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ce jointe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i/>
          <w:iCs/>
          <w:color w:val="000000"/>
          <w:u w:color="000000"/>
          <w:lang w:val="fr-BE"/>
        </w:rPr>
        <w:t xml:space="preserve">ce PV. 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Voici les remarques faites lors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de cette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union :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 xml:space="preserve">Dia 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« 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Activit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é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s r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é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alis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é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es par les partenaires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 »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: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1. Bernadette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cise que la Farandole a particip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JIMA.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2. Concernant la professionnelle engag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au sein de la Pause Grenadine : une pu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ricultrice travaillant dans le milieu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a un handicap reconnu par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AViQ. Gr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â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reconnaissance AViQ, la Pause Grenadine a pu adapter son horaire, un profil de fonction sp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cifique (pu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ricultrice renfort). Il y a une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rie de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â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elle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effectue pas : les ouvertures et fermetures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de structure par exemple.</w:t>
      </w:r>
      <w:r w:rsidRPr="000C6E31">
        <w:rPr>
          <w:rFonts w:ascii="Arial Unicode MS" w:hAnsi="Arial Unicode MS" w:cs="Arial Unicode MS"/>
          <w:color w:val="000000"/>
          <w:u w:color="000000"/>
          <w:lang w:val="fr-BE"/>
        </w:rPr>
        <w:br/>
      </w:r>
      <w:r w:rsidRPr="000C6E31">
        <w:rPr>
          <w:rFonts w:ascii="Arial" w:hAnsi="Arial" w:cs="Arial Unicode MS"/>
          <w:color w:val="000000"/>
          <w:u w:color="000000"/>
          <w:lang w:val="fr-BE"/>
        </w:rPr>
        <w:t>Avec le passage de la structure sous le statut de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che,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ne subventionne pas cet emploi en raison de la subvention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j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octroy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par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AViQ.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3. Les petits Nicolas avaient fait une demande pour refaire une formation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Snoezelen et ainsi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ressensibiliser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toute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quipe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cette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marche. Avec le contexte, cette formation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 pu avoir lieu, les responsables souhaitent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organiser en 2021.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Cela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peut-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tre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mis en lien avec le fait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y a pas eu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achat de mat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riel, car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les </w:t>
      </w:r>
      <w:proofErr w:type="gramStart"/>
      <w:r w:rsidRPr="000C6E31">
        <w:rPr>
          <w:rFonts w:ascii="Arial" w:hAnsi="Arial" w:cs="Arial Unicode MS"/>
          <w:color w:val="000000"/>
          <w:u w:color="000000"/>
          <w:lang w:val="fr-BE"/>
        </w:rPr>
        <w:t>responsable</w:t>
      </w:r>
      <w:proofErr w:type="gram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souhaitaient mettre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accent sur cette formation.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shd w:val="clear" w:color="auto" w:fill="FEFFFF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 xml:space="preserve">Dia 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« 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Diversit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 xml:space="preserve">é 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- Egalit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 xml:space="preserve">é 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>des chances hommes/femmes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 xml:space="preserve"> » </w:t>
      </w:r>
      <w:r w:rsidRPr="000C6E31">
        <w:rPr>
          <w:rFonts w:ascii="Arial" w:hAnsi="Arial" w:cs="Arial Unicode MS"/>
          <w:b/>
          <w:bCs/>
          <w:color w:val="000000"/>
          <w:u w:color="000000"/>
          <w:shd w:val="clear" w:color="auto" w:fill="FEFFFF"/>
          <w:lang w:val="fr-BE"/>
        </w:rPr>
        <w:t xml:space="preserve">: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Concernant la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des chances hommes/femmes et la promotion de la diversit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, les charg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 de missions FSE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chissent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une autre mani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aborder cette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matique, en partant de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du terrain. Elle sera plus participative que les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marches initialement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vue et qui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ont pas pu aboutir jusqu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alors</w:t>
      </w:r>
      <w:r w:rsidRPr="000C6E31">
        <w:rPr>
          <w:rFonts w:ascii="Arial" w:eastAsia="Arial" w:hAnsi="Arial" w:cs="Arial"/>
          <w:color w:val="000000"/>
          <w:u w:color="000000"/>
          <w:vertAlign w:val="superscript"/>
          <w:lang w:val="fr-BE"/>
        </w:rPr>
        <w:footnoteReference w:id="2"/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. 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Val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rie propose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envoyer le projet de rapport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activit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aux partenaires pour relecture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taill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e. La deadline pour lui envoyer des commentaires est le lundi 8 mars, le rapport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activit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devant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tre valid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sur le site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agence FSE pour le mercredi 10 mars.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Avenant 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 xml:space="preserve">à 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la convention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En 2019, une demande de renforcement financier </w:t>
      </w:r>
      <w:r w:rsidR="000C6E31">
        <w:rPr>
          <w:rFonts w:ascii="Arial" w:hAnsi="Arial" w:cs="Arial Unicode MS"/>
          <w:color w:val="000000"/>
          <w:u w:color="000000"/>
          <w:lang w:val="fr-BE"/>
        </w:rPr>
        <w:t>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introduite aupr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agence FSE afin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obtenir des moyens suppl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mentaires de pouvoir renforcer le plan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action du projet pour fin 2019 et 2020. Cette demande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 pas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rencontr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par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agence FSE.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Cependant,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agence a propos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prolonger le projet jusqu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cembre 2021.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Promemploi et les partenaires ont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pondre positivement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cette proposition.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2021 est une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de transition entre la programmation FSE actuelle et la programmat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ion prochaine. Cette derni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devrait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marrer courant 2021 ou au plus tard en 2022.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Selon que les projets rentr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dans la nouvelle programmation seront accept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ou pas, cette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2021 sera vers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dans cette nouvelle programmation ou, en cas de non agr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ment de nos projets, dans la programmation qui se termine.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Sur base de cette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2021 suppl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mentaire, il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cessaire de modifier le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« 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projet FSE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finitif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 »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sur le site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Agence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 Il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agit en fait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une description du projet tel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pos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origine en 2014.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Il y a une convention qui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git les relations entre partenaires tant au niveau administratif,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rationnel et financier.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En raison de cette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suppl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mentaire, il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galement fallu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diger un projet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avenant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convention. 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document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transmis aux partenaires lors du dernier Comit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accompagnement (07 septembre 2020).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tait demand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aux partenaires de relire afin de compl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ter les informations manquantes et de proposer des modifications si cela leur semblait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cessair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e.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avenant est maintenant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t.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tape suivante est la signature par les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rentes partenaires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avenant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convention (en 3 exemplaires).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En parall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le, Sylvie propose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envoyer une version WORD et une version PDF.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Concernant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AViQ, Madame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BAUDINE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plus 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dministratrice 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rale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 Pour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instant 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Monsieur Jean RIGUEL qui assure un remplacement et ce, en attendant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une personne soit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sign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pour assurer cette fonction.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Val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rie prendra contact avec les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rents partenaires afin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signer cet avenant.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Voyage d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’é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tude 2021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En 2020, le partenariat devait se rendre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Gand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pour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couvrir et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chir autour de la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matique suivante :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« 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chir les transitions pour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inclusion de toutes et tous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 »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 Le voyage 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û 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tre report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en raison du contexte sanitaire. Notre souhait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tait de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placer le voyage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2021.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Actuellement, la situation reste inchang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: les visites dans les milieux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accueil sont toujours interdites. </w:t>
      </w:r>
      <w:r w:rsidRPr="000C6E31">
        <w:rPr>
          <w:rFonts w:ascii="Arial Unicode MS" w:hAnsi="Arial Unicode MS" w:cs="Arial Unicode MS"/>
          <w:color w:val="000000"/>
          <w:u w:color="000000"/>
          <w:lang w:val="fr-BE"/>
        </w:rPr>
        <w:br/>
      </w:r>
      <w:r w:rsidRPr="000C6E31">
        <w:rPr>
          <w:rFonts w:ascii="Arial" w:hAnsi="Arial" w:cs="Arial Unicode MS"/>
          <w:color w:val="000000"/>
          <w:u w:color="000000"/>
          <w:lang w:val="fr-BE"/>
        </w:rPr>
        <w:t>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y a aucune certitude quant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possibilit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de se rendre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Gand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fin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e, la situation reste incertaine. Or, le projet se terminant en 2021, 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la derni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occasion de pouvoir organiser quelque chose dans le cadre de la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sente programmation. Que ce soit un voyage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tude tels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orga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nis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les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dentes ou un dispositif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flexif hybride.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 xml:space="preserve">avis des partenaires :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 et la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rence irait pour du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sentiel, notamment en regard de ce qui se passe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galement dans les moments informels.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anmoins,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impossibilit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se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en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sentiel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beaucoup risque de perdurer encore quelques mois, voire jusqu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’à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prochaine. Il serait dommage de ne rien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voir avant la fin du projet. Les partenaires sont int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par une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flexion sur cette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matique et ce,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quelque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soit la 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orme que cela prendra.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 si cela se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roule en virtuel, il y a moyen de provoquer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flexion et de permettre des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changes riches.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Une petite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gation pourrait-elle se rendre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Gand pour capter des images, des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moignages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restituer par la suite en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province de Luxembourg? Est-ce envisageable pour les partenaires? Et ce,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 si les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lais sont courts (en regard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volution du contexte sanitaire).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En fonction des structures, il est tant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 envisageable de lib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rer une personne pour une mobilit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,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 pour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autres, 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y a pas de certitude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heure actuelle.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Ev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é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nement de cl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ô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ture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pass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e,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Promemploi avait planifi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une semaine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nementielle du 08 au 11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cembre 2020 afin de mettre en avant le travail effectu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dans le cadre des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deux projets FSE durant ces derni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es. Le contexte sanitaire a entrain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le report de cette semaine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2021. La semaine retenue pour cet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est celle du 6 au 10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cembre, les jours restent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confirmer.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Quel est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avis des partenaires quant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cet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de cl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ture (en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sentiel? En ligne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?)? Serait-il envisageable pour les professionnel-le-s de terrain de pouvoir participer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un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en ligne?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b/>
          <w:bCs/>
          <w:color w:val="000000"/>
          <w:u w:color="000000"/>
          <w:lang w:val="fr-BE"/>
        </w:rPr>
        <w:t xml:space="preserve">avis des partenaires :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il serait int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ressant et important que quelque chose ait lieu. Les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partenaires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reraient un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en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sentiel, cela aurait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û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rement plus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impact.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anmoins, si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devait avoir lieu en ligne et en regard de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unions faites en visioconf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rence avec les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quipes, il peut y avoir des difficult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avec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aspect technique/informatique pour certain-e-s. De plus, il pourrait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y avoir que peu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inscrits en raison de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du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en ligne.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autres exp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riences montrent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il est tout de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 possible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organiser des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nements en virtuels et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avoir des participants en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nombre. Il existe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galement la possibilit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envisager du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« 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replay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 »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pour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assurer que chacun-e puisse visionner les conf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rences au moment qui lui convient le mieux, seul-e ou en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quipe.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u w:val="single"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ONE, dans le cadre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un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nement qui aura lieu durant le mois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juin, il est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vu de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unir les intervenants dans une grande salle en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sentiel et de filmer ces interventions avec plusieurs cam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ras, comme sur un plateau de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vision. Cela permettra aux professionnel-le-s de pouvoir visionner cet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 en lign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e, un peu comme si ils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taient dans la salle, cela rendra les choses plus actives et attractives. Un march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public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lanc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par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pour trouver une soci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production.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Pause Grenadine - pr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é</w:t>
      </w: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sentation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La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matique de la transition parle beaucoup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Pause Grenadine, et particuli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rement les transitions entre la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et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Par ailleurs, le poste de Marie est financ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par le FSE, son contrat se terminera donc en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cembre 2021. Le PO demande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 que Marie puisse consacrer un quota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heure sur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des projets en lien avec le projet FSE Inclusion.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Est donc venue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de se consacrer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 travail plus approfondi sur les transitions.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Dans un premier temps, un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tat des lieux des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rentes actions mises en place</w:t>
      </w:r>
      <w:r w:rsidRPr="000C6E31">
        <w:rPr>
          <w:rFonts w:ascii="Arial" w:eastAsia="Arial" w:hAnsi="Arial" w:cs="Arial"/>
          <w:color w:val="000000"/>
          <w:u w:color="000000"/>
          <w:vertAlign w:val="superscript"/>
          <w:lang w:val="fr-BE"/>
        </w:rPr>
        <w:footnoteReference w:id="3"/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dans la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che pour favoriser/faciliter la transition va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alis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rents cas de figures existent : </w:t>
      </w:r>
    </w:p>
    <w:p w:rsidR="006A29D6" w:rsidRPr="000C6E31" w:rsidRDefault="00803546">
      <w:pPr>
        <w:numPr>
          <w:ilvl w:val="0"/>
          <w:numId w:val="7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Les enfants en situation de handicap restent en 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ral plus longtemps dans la structure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accueil avant de passer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 (entr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cole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post-pos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>).</w:t>
      </w:r>
    </w:p>
    <w:p w:rsidR="006A29D6" w:rsidRPr="000C6E31" w:rsidRDefault="00803546">
      <w:pPr>
        <w:numPr>
          <w:ilvl w:val="0"/>
          <w:numId w:val="7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rtains enfants fr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quentent durant un temps la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et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cole.</w:t>
      </w:r>
    </w:p>
    <w:p w:rsidR="006A29D6" w:rsidRPr="000C6E31" w:rsidRDefault="00803546">
      <w:pPr>
        <w:numPr>
          <w:ilvl w:val="0"/>
          <w:numId w:val="7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Certains enfants restent dans la structure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le mercredi car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est plus adapt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’à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extrascolaire par exemple.</w:t>
      </w:r>
    </w:p>
    <w:p w:rsidR="006A29D6" w:rsidRPr="000C6E31" w:rsidRDefault="00803546">
      <w:pPr>
        <w:numPr>
          <w:ilvl w:val="0"/>
          <w:numId w:val="7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Il y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galement des demandes ponctuelles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accueil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durant les vacances scolaires (semaine des grands, plaine des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Boutchoux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, stage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lomamy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>, etc.).</w:t>
      </w:r>
    </w:p>
    <w:p w:rsidR="006A29D6" w:rsidRPr="000C6E31" w:rsidRDefault="00803546">
      <w:pPr>
        <w:numPr>
          <w:ilvl w:val="0"/>
          <w:numId w:val="7"/>
        </w:numPr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Il y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galement la question de la possibilit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pour certains de revenir passer un moment/une journ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dans le milieu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accueil,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me si cela se passe bien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leur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arriv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cole. Il y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galement la question de la familiarisation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Avec le passage de la Halte Accueil en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che, 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se rend compte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il existe une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gislation 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cise concernant ces enfants de plus de trois ans qui ont besoin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rester/revenir dans la structure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Le but de cet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tat des lieu est de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aliser une analyse de ce qui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propos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jusqu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alors pour pouvoir proposer des projets pour pouvoir continuer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les accueillir et voir ce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il serait possible de mettre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 place sur Bastogne.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a contact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Florence Pirard, une de ces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tudiantes va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diger son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moire sur cette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matique. Florence va donc les mettre en contact avec elle.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Ce sera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occasion de mettre en lumi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et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analyser ce qui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fait au se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 de la structure.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De plus, Marie HOUSEN, doctorante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Ulg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>, 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alis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une enqu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te en FWB afin de faire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tat des lieux quant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question de la transition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che/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Sur base de ce qui vient de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changer et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avis des partenaires quant au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voyage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tude 2021, il semble int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ressant de conjuguer les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marches,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avancer en parall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le ou </w:t>
      </w:r>
      <w:proofErr w:type="gramStart"/>
      <w:r w:rsidRPr="000C6E31">
        <w:rPr>
          <w:rFonts w:ascii="Arial" w:hAnsi="Arial" w:cs="Arial Unicode MS"/>
          <w:color w:val="000000"/>
          <w:u w:color="000000"/>
          <w:lang w:val="fr-BE"/>
        </w:rPr>
        <w:t>tous ensemble</w:t>
      </w:r>
      <w:proofErr w:type="gramEnd"/>
      <w:r w:rsidRPr="000C6E31">
        <w:rPr>
          <w:rFonts w:ascii="Arial" w:hAnsi="Arial" w:cs="Arial Unicode MS"/>
          <w:color w:val="000000"/>
          <w:u w:color="000000"/>
          <w:lang w:val="fr-BE"/>
        </w:rPr>
        <w:t>.</w:t>
      </w:r>
    </w:p>
    <w:p w:rsid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Val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rie demande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si il est possible de la tenir informer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avancement de la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marche. 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est ok de faire comme cela.</w:t>
      </w:r>
    </w:p>
    <w:p w:rsid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Unicode MS" w:hAnsi="Arial Unicode MS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Karine et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lanie des Petits Nicolas constatent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 maisons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enfants, elles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taient plus libres puisqu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elles pouvaient accueillir des enfants jusque 6 ans. En passant en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che, 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plus compliqu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. Or, leur souhait est de pouvoir continuer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à 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tre flex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ibles vis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vis des enfants et de leurs familles.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Cette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 est donc 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porteuse pour elles.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Elles soulignent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avec le contexte sanitaire </w:t>
      </w:r>
      <w:r w:rsidR="000C6E31" w:rsidRPr="000C6E31">
        <w:rPr>
          <w:rFonts w:ascii="Arial" w:hAnsi="Arial" w:cs="Arial Unicode MS"/>
          <w:color w:val="000000"/>
          <w:u w:color="000000"/>
          <w:lang w:val="fr-BE"/>
        </w:rPr>
        <w:t>actuel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,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enfants venant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cole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pas autoris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actuellement puisqu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 ne peut pas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langer les bulles. St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phan rappelle que cette situation est temporaire et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elle devrait changer prochainement.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Pour 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oise, le fait de ne pas pouvoir accueillir en ce moment comme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demment est identifi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comme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tant le moment 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al pour focaliser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nergie disponible sur cette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flexion et cette analyse.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Aux Lutins du parc, 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y a jamais eu de cas de figure o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ù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les enfants restaient plus longtemps dans le milieu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accueil mais il semble pertinent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Justine de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chir sur cette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Pour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ce qui est de la Farandole, il y a quelques ann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es, un accueil apr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cole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tait propos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pour les enfants. Il leur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dit que cela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tait consid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comme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extrascolaire, cette offre a donc cess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 Pour Bernadette, la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marche </w:t>
      </w:r>
      <w:r w:rsidR="000C6E31" w:rsidRPr="000C6E31">
        <w:rPr>
          <w:rFonts w:ascii="Arial" w:hAnsi="Arial" w:cs="Arial Unicode MS"/>
          <w:color w:val="000000"/>
          <w:u w:color="000000"/>
          <w:lang w:val="fr-BE"/>
        </w:rPr>
        <w:t>proposée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dans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 cadre de cette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union est 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int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ressante, elle souhaite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y impliquer. 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phan fera le relai aupr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de Xavier car cette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ressera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û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rement aussi.  Au niveau institutionnel, il y a une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elle volont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 sein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avancer sur ce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tte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Val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rie reprendra contact avec les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rents partenaires afin de coordonner tout cela.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Unicode MS" w:hAnsi="Arial Unicode MS" w:cs="Arial Unicode MS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Sylvie met en avant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importance que les milieux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qui, en raison de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forme, vivent des transformations les documentent et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moignent des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difficult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: la perte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autonomie, de flexibilit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, etc.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Ceci afin que ces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moignages remontent vers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car 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une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occupation fortement partag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notamment par les coordinations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matiques ou territoriales charg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accompagner les structures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Les structures vont gagner en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curit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financi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re, </w:t>
      </w:r>
      <w:proofErr w:type="spellStart"/>
      <w:r w:rsidRPr="000C6E31">
        <w:rPr>
          <w:rFonts w:ascii="Arial" w:hAnsi="Arial" w:cs="Arial Unicode MS"/>
          <w:color w:val="000000"/>
          <w:u w:color="000000"/>
          <w:lang w:val="fr-BE"/>
        </w:rPr>
        <w:t>etc</w:t>
      </w:r>
      <w:proofErr w:type="spell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mais il y a un risque de perte en accessibilit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et en diversit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</w:t>
      </w:r>
      <w:bookmarkStart w:id="0" w:name="_GoBack"/>
      <w:bookmarkEnd w:id="0"/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Des concertations sont encore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vues avec la Ministre au sujet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accessibilit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sociale renforc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e, il faut que les coordina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tions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matiques/l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puissent porter les 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moignages et ainsi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chir comment combiner les aspects positifs de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forme avec la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servation de la sp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cificit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du terrain.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Si les partenaires ont des choses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moigner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 sujet, Sylvie met des enqu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tes en ligne avant les concertations pour offrir un espace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expression aux professionnel-le-s du secteur. Cependant, 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y a pas de concertation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vue pour le moment. De mani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rale, les partenaires peuvent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adresser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Promemploi pour faire part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leurs remarques/difficult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cise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au niveau des Haltes Accueil, la CHACOF a mis en route des chantiers de travail afin de pouvoir garder ces sp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cificit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s. 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oise esp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 obtenir la reconnaissance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che niveau 3 accessibilit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sociale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enforc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Or, le poste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en 2021 via le FSE et le travail effectu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sur la transition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pare le poste PMS qui sera engag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si la structure est </w:t>
      </w:r>
      <w:proofErr w:type="gramStart"/>
      <w:r w:rsidRPr="000C6E31">
        <w:rPr>
          <w:rFonts w:ascii="Arial" w:hAnsi="Arial" w:cs="Arial Unicode MS"/>
          <w:color w:val="000000"/>
          <w:u w:color="000000"/>
          <w:lang w:val="fr-BE"/>
        </w:rPr>
        <w:t>reconnu</w:t>
      </w:r>
      <w:proofErr w:type="gramEnd"/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niveau 3.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phan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cise quant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lui que 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glementation vient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voluer et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elle peut encore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 faire. Par exemple, la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finition des milieux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accueil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revue et permet une plus grande souplesse au niveau des transitions, il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est plus question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’â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ges mais de fin du cong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maternit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pour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 dans le milieu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et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 pour la fin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Il confirme 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il est important que si des difficult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sont constat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es, il faut pouvoir les faire remonter pour continuer le travail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labor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rieurement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forme. Le but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est pas de bloquer les initiatives positives.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Les coordinatrices accueil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ONE restent des personnes ressources pour les structures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Nouvelle programmation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A ce stade,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Promemploi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 pas encore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informations 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concr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tes quant au lancement de la nouvelle programmation.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anmoins,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ASBL Promemploi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souhaite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j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chir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 futur projet.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Sur base de ce qui a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cu dans le cadre du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sent projet et des retours faits par les partenaires suite aux voyages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tude, etc. il semble pertinent de proposer un projet en lien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avec la question suivante : comment promouvoir et soutenir la diversit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et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accessibilit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 tous les enfants et leurs parents dans les milieux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en province de Luxembourg?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Concernant la notion de diversit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, dans le cadre du futur projet, celles-c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 ne se limiterait plus uniquement aux enfants en situation de handicap.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lanie souligne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importance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employer les bons termes. En effet, il y a des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rences dans les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finitions pour les termes migrants, demandeurs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asile et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fugi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s. Il faut se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ettre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accord sur les termes employ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Promemploi pense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aliser la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arbre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probl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 afin de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diger le projet. Il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agit de partir des probl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mes rencontr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sur le terrain, de ce qui manque, ce qui est insuffisamment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sent ou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soutenir afin de cr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er un arbre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probl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me que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on transpose ensuite en arbre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objectif pour finalement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diger un projet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introduire aupr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agence.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est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sireuse de mener cette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flexion avec des professionnels de terrain afin que le proje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 co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ï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ncide avec les besoins du terrain. Elle communiquera vers le secteur au moment venu pour proposer aux personnes qui le souhaitent de se joindre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la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flexion.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Fran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ç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oise a pu participer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cette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 lors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appel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projet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dent et confirme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 de cette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marche.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Sylvie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cise que le projet sur lequel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et des professionnel-le-s de terrain avaient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chi alors n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avait pas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retenu. Le FSE avait jug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il relevait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ONE. 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Il risque donc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y avoir une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rence entre ce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quoi on peut aboutir en se mettant autour de la table pour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fl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chir et ce qui sera consid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comme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ligible au moment de la sortie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appel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projet. Il restera ensuite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voir si le projet est retenu. </w:t>
      </w:r>
      <w:r w:rsidRPr="000C6E31">
        <w:rPr>
          <w:rFonts w:ascii="Arial Unicode MS" w:hAnsi="Arial Unicode MS" w:cs="Arial Unicode MS"/>
          <w:color w:val="000000"/>
          <w:u w:color="000000"/>
          <w:lang w:val="fr-BE"/>
        </w:rPr>
        <w:br/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=&gt; Il faut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la fois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tre ambitieux et pragmatique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quant au projet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venir.</w:t>
      </w:r>
    </w:p>
    <w:p w:rsidR="006A29D6" w:rsidRPr="000C6E31" w:rsidRDefault="006A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Arial" w:hAnsi="Arial" w:cs="Arial"/>
          <w:b/>
          <w:bCs/>
          <w:color w:val="365F91"/>
          <w:sz w:val="28"/>
          <w:szCs w:val="28"/>
          <w:u w:color="365F91"/>
          <w:lang w:val="fr-BE"/>
        </w:rPr>
      </w:pPr>
      <w:r w:rsidRPr="000C6E31">
        <w:rPr>
          <w:rFonts w:ascii="Arial" w:hAnsi="Arial" w:cs="Arial Unicode MS"/>
          <w:b/>
          <w:bCs/>
          <w:color w:val="365F91"/>
          <w:sz w:val="28"/>
          <w:szCs w:val="28"/>
          <w:u w:color="365F91"/>
          <w:lang w:val="fr-BE"/>
        </w:rPr>
        <w:t>Divers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Les milieux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accueil vont recevoir un courrier dans les jours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venir concernant le projet Erasmus +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« 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Triangle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 »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. Il 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agit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une invitation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participer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trois mobilit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organis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es dans les mois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à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venir : octobre 2021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 Italie, en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cembre 2021 en Belgique et mai 2022 en Suisse.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Ces mobilit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unirons des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gations venues de diff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rents pays (en fonction des mobilit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s : Belgique, France, Italie, Suisse). Elles permettront de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couvrir et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changer sur le contexte de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accueil de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enfant du pays 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te et ce, gr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â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ce/autour de th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matiques identifi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es au pr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alable par les partenaires du projet. Chaque professionnel aura ainsi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opportunit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changer autour de ces questions au sein de sa propre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gation mais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galement a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vec des homologues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trangers.</w:t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BE"/>
        </w:rPr>
      </w:pPr>
      <w:r w:rsidRPr="000C6E31">
        <w:rPr>
          <w:rFonts w:ascii="Arial" w:hAnsi="Arial" w:cs="Arial Unicode MS"/>
          <w:color w:val="000000"/>
          <w:u w:color="000000"/>
          <w:lang w:val="fr-BE"/>
        </w:rPr>
        <w:t>Concernant la mobilit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é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en Belgique, celle-ci aura lieu en m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ê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me temps que la semaine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v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nementielle. 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ASBL Promemploi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 a besoin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’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h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ô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tes faisant ainsi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couvrir notre contexte aux d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l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gations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é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trang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res, mettant en lumi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è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 xml:space="preserve">re les </w:t>
      </w:r>
      <w:r w:rsidRPr="000C6E31">
        <w:rPr>
          <w:rFonts w:ascii="Arial" w:hAnsi="Arial" w:cs="Arial Unicode MS"/>
          <w:color w:val="000000"/>
          <w:u w:color="000000"/>
          <w:lang w:val="fr-BE"/>
        </w:rPr>
        <w:t>initiatives mises en place en province de Luxembourg.</w:t>
      </w:r>
    </w:p>
    <w:p w:rsidR="006A29D6" w:rsidRPr="000C6E31" w:rsidRDefault="0080354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jc w:val="both"/>
        <w:rPr>
          <w:rFonts w:ascii="Arial" w:eastAsia="Arial" w:hAnsi="Arial" w:cs="Arial"/>
          <w:sz w:val="24"/>
          <w:szCs w:val="24"/>
          <w:u w:color="000000"/>
          <w:lang w:val="fr-BE"/>
        </w:rPr>
      </w:pPr>
      <w:r w:rsidRPr="000C6E31">
        <w:rPr>
          <w:rFonts w:ascii="Arial" w:hAnsi="Arial"/>
          <w:sz w:val="24"/>
          <w:szCs w:val="24"/>
          <w:u w:color="000000"/>
          <w:lang w:val="fr-BE"/>
        </w:rPr>
        <w:t>Pour toute question, Val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rie et Sylvie sont disponibles par email, t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l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phone ou visioconf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rence.</w:t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 Unicode MS" w:eastAsia="Arial Unicode MS" w:hAnsi="Arial Unicode MS" w:cs="Arial Unicode MS"/>
          <w:sz w:val="14"/>
          <w:szCs w:val="14"/>
          <w:u w:color="000000"/>
          <w:lang w:val="fr-BE"/>
        </w:rPr>
        <w:br/>
      </w:r>
      <w:r w:rsidRPr="000C6E31">
        <w:rPr>
          <w:rFonts w:ascii="Arial" w:hAnsi="Arial"/>
          <w:sz w:val="24"/>
          <w:szCs w:val="24"/>
          <w:u w:color="000000"/>
          <w:lang w:val="fr-BE"/>
        </w:rPr>
        <w:t>Mathilde transmet la demande d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une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tudiante faisant un m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moire en lien avec l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accueil des enfants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à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besoins sp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cifiques. Mathilde souhaiterait savoir si elle peut transmettre les coordonn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es des milieux d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accueil partenaires. Cette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tudiante aurait besoin d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informations pour la partie pratique de son m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moire : elle souhaiterait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changer avec des professi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onnel-le-s de terrain dans le but de r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colter des informations et l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avis des professionnel-le-s (freins, facilitateurs, etc.). Il s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agit d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un entretien de 60 minutes avec des questions </w:t>
      </w:r>
      <w:proofErr w:type="spellStart"/>
      <w:r w:rsidRPr="000C6E31">
        <w:rPr>
          <w:rFonts w:ascii="Arial" w:hAnsi="Arial"/>
          <w:sz w:val="24"/>
          <w:szCs w:val="24"/>
          <w:u w:color="000000"/>
          <w:lang w:val="fr-BE"/>
        </w:rPr>
        <w:t>pr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-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tablies</w:t>
      </w:r>
      <w:proofErr w:type="spellEnd"/>
      <w:r w:rsidRPr="000C6E31">
        <w:rPr>
          <w:rFonts w:ascii="Arial" w:hAnsi="Arial"/>
          <w:sz w:val="24"/>
          <w:szCs w:val="24"/>
          <w:u w:color="000000"/>
          <w:lang w:val="fr-BE"/>
        </w:rPr>
        <w:t>.</w:t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" w:hAnsi="Arial"/>
          <w:sz w:val="24"/>
          <w:szCs w:val="24"/>
          <w:u w:color="000000"/>
          <w:lang w:val="fr-BE"/>
        </w:rPr>
        <w:t>Les Petits Nicolas sont d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j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à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en contact avec cette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tudia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nte. M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lanie t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moigne que ces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changes ont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é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porteurs pour les professionnel-le-s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galement, pas uniquement avec l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tudiante.</w:t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" w:hAnsi="Arial"/>
          <w:sz w:val="24"/>
          <w:szCs w:val="24"/>
          <w:u w:color="000000"/>
          <w:lang w:val="fr-BE"/>
        </w:rPr>
        <w:t>La Pause Grenadine et la Farandole sont d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’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accords que Mathilde </w:t>
      </w:r>
      <w:proofErr w:type="gramStart"/>
      <w:r w:rsidRPr="000C6E31">
        <w:rPr>
          <w:rFonts w:ascii="Arial" w:hAnsi="Arial"/>
          <w:sz w:val="24"/>
          <w:szCs w:val="24"/>
          <w:u w:color="000000"/>
          <w:lang w:val="fr-BE"/>
        </w:rPr>
        <w:t>transmettent</w:t>
      </w:r>
      <w:proofErr w:type="gramEnd"/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 leur coordonn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es. </w:t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Madame GOFFINET souhaiterait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recevoir le m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 xml:space="preserve">moire de cette 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tudiante quand il sera termin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é</w:t>
      </w:r>
      <w:r w:rsidRPr="000C6E31">
        <w:rPr>
          <w:rFonts w:ascii="Arial" w:hAnsi="Arial"/>
          <w:sz w:val="24"/>
          <w:szCs w:val="24"/>
          <w:u w:color="000000"/>
          <w:lang w:val="fr-BE"/>
        </w:rPr>
        <w:t>.</w:t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  <w:r w:rsidRPr="000C6E31">
        <w:rPr>
          <w:rFonts w:ascii="Arial Unicode MS" w:eastAsia="Arial Unicode MS" w:hAnsi="Arial Unicode MS" w:cs="Arial Unicode MS"/>
          <w:sz w:val="24"/>
          <w:szCs w:val="24"/>
          <w:u w:color="000000"/>
          <w:lang w:val="fr-BE"/>
        </w:rPr>
        <w:br/>
      </w:r>
    </w:p>
    <w:p w:rsidR="006A29D6" w:rsidRPr="000C6E31" w:rsidRDefault="008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lang w:val="fr-BE"/>
        </w:rPr>
      </w:pPr>
      <w:r w:rsidRPr="000C6E31">
        <w:rPr>
          <w:rFonts w:ascii="Arial" w:eastAsia="Calibri" w:hAnsi="Arial" w:cs="Calibri"/>
          <w:color w:val="000000"/>
          <w:u w:color="000000"/>
          <w:lang w:val="fr-BE"/>
        </w:rPr>
        <w:t>PV r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dig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 xml:space="preserve">é 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par Val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rie LEGROS, charg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é</w:t>
      </w:r>
      <w:r w:rsidRPr="000C6E31">
        <w:rPr>
          <w:rFonts w:ascii="Arial" w:eastAsia="Calibri" w:hAnsi="Arial" w:cs="Calibri"/>
          <w:color w:val="000000"/>
          <w:u w:color="000000"/>
          <w:lang w:val="fr-BE"/>
        </w:rPr>
        <w:t>e de projet</w:t>
      </w:r>
    </w:p>
    <w:sectPr w:rsidR="006A29D6" w:rsidRPr="000C6E31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3546">
      <w:r>
        <w:separator/>
      </w:r>
    </w:p>
  </w:endnote>
  <w:endnote w:type="continuationSeparator" w:id="0">
    <w:p w:rsidR="00000000" w:rsidRDefault="008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D6" w:rsidRDefault="00803546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rFonts w:hint="eastAsia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D6" w:rsidRDefault="00803546">
      <w:r>
        <w:separator/>
      </w:r>
    </w:p>
  </w:footnote>
  <w:footnote w:type="continuationSeparator" w:id="0">
    <w:p w:rsidR="006A29D6" w:rsidRDefault="00803546">
      <w:r>
        <w:continuationSeparator/>
      </w:r>
    </w:p>
  </w:footnote>
  <w:footnote w:type="continuationNotice" w:id="1">
    <w:p w:rsidR="006A29D6" w:rsidRDefault="006A29D6"/>
  </w:footnote>
  <w:footnote w:id="2">
    <w:p w:rsidR="006A29D6" w:rsidRPr="000C6E31" w:rsidRDefault="00803546">
      <w:pPr>
        <w:pStyle w:val="Notedebasdepage"/>
        <w:rPr>
          <w:lang w:val="fr-BE"/>
        </w:rPr>
      </w:pPr>
      <w:r w:rsidRPr="000C6E31">
        <w:rPr>
          <w:vertAlign w:val="superscript"/>
          <w:lang w:val="fr-BE"/>
        </w:rPr>
        <w:footnoteRef/>
      </w:r>
      <w:r w:rsidRPr="000C6E31">
        <w:rPr>
          <w:rFonts w:eastAsia="Arial Unicode MS" w:cs="Arial Unicode MS"/>
          <w:lang w:val="fr-BE"/>
        </w:rPr>
        <w:t xml:space="preserve"> </w:t>
      </w:r>
      <w:r w:rsidRPr="000C6E31">
        <w:rPr>
          <w:rFonts w:eastAsia="Arial Unicode MS" w:cs="Arial Unicode MS"/>
          <w:lang w:val="fr-BE"/>
        </w:rPr>
        <w:t>NDLR : voir le rapport d</w:t>
      </w:r>
      <w:r w:rsidRPr="000C6E31">
        <w:rPr>
          <w:rFonts w:eastAsia="Arial Unicode MS" w:cs="Arial Unicode MS"/>
          <w:lang w:val="fr-BE"/>
        </w:rPr>
        <w:t>’</w:t>
      </w:r>
      <w:r w:rsidRPr="000C6E31">
        <w:rPr>
          <w:rFonts w:eastAsia="Arial Unicode MS" w:cs="Arial Unicode MS"/>
          <w:lang w:val="fr-BE"/>
        </w:rPr>
        <w:t>activit</w:t>
      </w:r>
      <w:r w:rsidRPr="000C6E31">
        <w:rPr>
          <w:rFonts w:eastAsia="Arial Unicode MS" w:cs="Arial Unicode MS"/>
          <w:lang w:val="fr-BE"/>
        </w:rPr>
        <w:t xml:space="preserve">é </w:t>
      </w:r>
      <w:r w:rsidRPr="000C6E31">
        <w:rPr>
          <w:rFonts w:eastAsia="Arial Unicode MS" w:cs="Arial Unicode MS"/>
          <w:lang w:val="fr-BE"/>
        </w:rPr>
        <w:t>pour plus d</w:t>
      </w:r>
      <w:r w:rsidRPr="000C6E31">
        <w:rPr>
          <w:rFonts w:eastAsia="Arial Unicode MS" w:cs="Arial Unicode MS"/>
          <w:lang w:val="fr-BE"/>
        </w:rPr>
        <w:t>’</w:t>
      </w:r>
      <w:r w:rsidRPr="000C6E31">
        <w:rPr>
          <w:rFonts w:eastAsia="Arial Unicode MS" w:cs="Arial Unicode MS"/>
          <w:lang w:val="fr-BE"/>
        </w:rPr>
        <w:t xml:space="preserve">explications </w:t>
      </w:r>
      <w:r w:rsidRPr="000C6E31">
        <w:rPr>
          <w:rFonts w:eastAsia="Arial Unicode MS" w:cs="Arial Unicode MS"/>
          <w:lang w:val="fr-BE"/>
        </w:rPr>
        <w:t xml:space="preserve">à </w:t>
      </w:r>
      <w:r w:rsidRPr="000C6E31">
        <w:rPr>
          <w:rFonts w:eastAsia="Arial Unicode MS" w:cs="Arial Unicode MS"/>
          <w:lang w:val="fr-BE"/>
        </w:rPr>
        <w:t>ce sujet.</w:t>
      </w:r>
    </w:p>
  </w:footnote>
  <w:footnote w:id="3">
    <w:p w:rsidR="006A29D6" w:rsidRDefault="00803546">
      <w:pPr>
        <w:pStyle w:val="Notedebasdepag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 w:rsidR="000C6E31" w:rsidRPr="000C6E31">
        <w:rPr>
          <w:rFonts w:eastAsia="Arial Unicode MS" w:cs="Arial Unicode MS"/>
          <w:lang w:val="fr-BE"/>
        </w:rPr>
        <w:t>Explication</w:t>
      </w:r>
      <w:r w:rsidRPr="000C6E31">
        <w:rPr>
          <w:rFonts w:eastAsia="Arial Unicode MS" w:cs="Arial Unicode MS"/>
          <w:lang w:val="fr-BE"/>
        </w:rPr>
        <w:t xml:space="preserve"> de la situation, description de ce qui a </w:t>
      </w:r>
      <w:r w:rsidRPr="000C6E31">
        <w:rPr>
          <w:rFonts w:eastAsia="Arial Unicode MS" w:cs="Arial Unicode MS"/>
          <w:lang w:val="fr-BE"/>
        </w:rPr>
        <w:t>é</w:t>
      </w:r>
      <w:r w:rsidRPr="000C6E31">
        <w:rPr>
          <w:rFonts w:eastAsia="Arial Unicode MS" w:cs="Arial Unicode MS"/>
          <w:lang w:val="fr-BE"/>
        </w:rPr>
        <w:t>t</w:t>
      </w:r>
      <w:r w:rsidRPr="000C6E31">
        <w:rPr>
          <w:rFonts w:eastAsia="Arial Unicode MS" w:cs="Arial Unicode MS"/>
          <w:lang w:val="fr-BE"/>
        </w:rPr>
        <w:t xml:space="preserve">é </w:t>
      </w:r>
      <w:r w:rsidRPr="000C6E31">
        <w:rPr>
          <w:rFonts w:eastAsia="Arial Unicode MS" w:cs="Arial Unicode MS"/>
          <w:lang w:val="fr-BE"/>
        </w:rPr>
        <w:t>mis en place, analyse des points positifs et des points n</w:t>
      </w:r>
      <w:r w:rsidRPr="000C6E31">
        <w:rPr>
          <w:rFonts w:eastAsia="Arial Unicode MS" w:cs="Arial Unicode MS"/>
          <w:lang w:val="fr-BE"/>
        </w:rPr>
        <w:t>é</w:t>
      </w:r>
      <w:r w:rsidRPr="000C6E31">
        <w:rPr>
          <w:rFonts w:eastAsia="Arial Unicode MS" w:cs="Arial Unicode MS"/>
          <w:lang w:val="fr-BE"/>
        </w:rPr>
        <w:t>gatifs.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D6" w:rsidRDefault="006A29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983"/>
    <w:multiLevelType w:val="hybridMultilevel"/>
    <w:tmpl w:val="51547F18"/>
    <w:numStyleLink w:val="Tiret"/>
  </w:abstractNum>
  <w:abstractNum w:abstractNumId="1">
    <w:nsid w:val="0BB55B4D"/>
    <w:multiLevelType w:val="hybridMultilevel"/>
    <w:tmpl w:val="D3B6857E"/>
    <w:lvl w:ilvl="0" w:tplc="95CC60A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71F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8130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0446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6B75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8108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4171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E61D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C486C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027880"/>
    <w:multiLevelType w:val="hybridMultilevel"/>
    <w:tmpl w:val="46A80E50"/>
    <w:styleLink w:val="Style1import"/>
    <w:lvl w:ilvl="0" w:tplc="6240A3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226D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801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D8D20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0C98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A9F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34B80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A0DCA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62B0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3E43DBB"/>
    <w:multiLevelType w:val="hybridMultilevel"/>
    <w:tmpl w:val="46A80E50"/>
    <w:numStyleLink w:val="Style1import"/>
  </w:abstractNum>
  <w:abstractNum w:abstractNumId="4">
    <w:nsid w:val="58FF7439"/>
    <w:multiLevelType w:val="hybridMultilevel"/>
    <w:tmpl w:val="23F620CE"/>
    <w:lvl w:ilvl="0" w:tplc="0128C55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D0F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A0B2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A63D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ECDC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6014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A5B6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C307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090C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D5C358A"/>
    <w:multiLevelType w:val="hybridMultilevel"/>
    <w:tmpl w:val="51547F18"/>
    <w:styleLink w:val="Tiret"/>
    <w:lvl w:ilvl="0" w:tplc="46DA9F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B10A4F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E98944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F726C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7D6BD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39C85D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2F761A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6F640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1ECF30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nsid w:val="6EC0055B"/>
    <w:multiLevelType w:val="hybridMultilevel"/>
    <w:tmpl w:val="3AD6B48E"/>
    <w:lvl w:ilvl="0" w:tplc="1B54E1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74CE6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85C0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C4B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6B20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2184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A07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AA52C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6E4A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29D6"/>
    <w:rsid w:val="000C6E31"/>
    <w:rsid w:val="006A29D6"/>
    <w:rsid w:val="008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tedebasdepage">
    <w:name w:val="footnote 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Tiret">
    <w:name w:val="Tiret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3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tedebasdepage">
    <w:name w:val="footnote 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Tiret">
    <w:name w:val="Tiret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3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4072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Mathilde Casel</cp:lastModifiedBy>
  <cp:revision>2</cp:revision>
  <dcterms:created xsi:type="dcterms:W3CDTF">2021-03-30T13:44:00Z</dcterms:created>
  <dcterms:modified xsi:type="dcterms:W3CDTF">2021-03-30T14:05:00Z</dcterms:modified>
</cp:coreProperties>
</file>